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98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709"/>
        <w:gridCol w:w="425"/>
        <w:gridCol w:w="709"/>
        <w:gridCol w:w="944"/>
        <w:gridCol w:w="757"/>
        <w:gridCol w:w="992"/>
        <w:gridCol w:w="851"/>
        <w:gridCol w:w="1276"/>
        <w:gridCol w:w="708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9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  <w:t>巫溪县人民医院公开招聘卫生计生专业技术人员（临聘）岗位一览表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 聘岗 位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经费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渠道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45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招聘条件和要求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考试考核方式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  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 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（学位）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  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巫溪县人民医院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自付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专技13级及以上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全日制普通高校专科及以上学历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康复医学、</w:t>
            </w:r>
            <w:r>
              <w:rPr>
                <w:rFonts w:eastAsia="方正仿宋_GBK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笔试+结构化面试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自付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专技13级及以上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自付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专技13级及以上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临床医学、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口腔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自付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专技13级及以上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、临床医学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自付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专技13级及以上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医学影像学、医学影像技术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电生理科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自付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专技13级及以上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hint="eastAsia" w:ascii="方正仿宋_GBK" w:hAnsi="方正仿宋_GBK" w:eastAsia="方正仿宋_GBK" w:cs="方正仿宋_GBK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B270D"/>
    <w:rsid w:val="03EB27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2019-05-16T02:05:00Z</dcterms:created>
  <dc:creator>Administrator</dc:creator>
  <cp:lastModifiedBy>Administrator</cp:lastModifiedBy>
  <dcterms:modified xsi:type="dcterms:W3CDTF">2019-05-16T02:06:18Z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